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657C" w14:textId="77777777" w:rsidR="00945FC5" w:rsidRPr="000C7368" w:rsidRDefault="00945FC5" w:rsidP="00945FC5">
      <w:pPr>
        <w:pStyle w:val="Heading3"/>
        <w:ind w:left="0" w:firstLine="0"/>
        <w:rPr>
          <w:sz w:val="24"/>
          <w:szCs w:val="24"/>
        </w:rPr>
      </w:pPr>
      <w:bookmarkStart w:id="0" w:name="_CPA25"/>
      <w:r w:rsidRPr="000C7368">
        <w:rPr>
          <w:sz w:val="24"/>
          <w:szCs w:val="24"/>
        </w:rPr>
        <w:t>I-2 General Industrial District</w:t>
      </w:r>
    </w:p>
    <w:bookmarkEnd w:id="0"/>
    <w:p w14:paraId="6F1246D9" w14:textId="77777777" w:rsidR="00A55CC0" w:rsidRPr="00A55CC0" w:rsidRDefault="00A55CC0" w:rsidP="00A55CC0">
      <w:pPr>
        <w:jc w:val="both"/>
        <w:rPr>
          <w:sz w:val="22"/>
          <w:szCs w:val="22"/>
        </w:rPr>
      </w:pPr>
      <w:r w:rsidRPr="00A55CC0">
        <w:rPr>
          <w:sz w:val="22"/>
          <w:szCs w:val="22"/>
        </w:rPr>
        <w:t xml:space="preserve">The I-2 district is intended primarily for general manufacturing and closely related uses. Also allowed in the district are commercial and other uses allowed in some commercial districts. To avoid burdensome regulations on general manufacturing but at the same time to provide adequate limitations on the development of industries incompatible with the city's general industrial characteristics, regulations for this district are intended to provide protection principally against effects harmful to other districts. These regulations do not afford the same level of protection for commercial and other allowed uses not related to general manufacturing as such uses would receive if located in districts primarily designed for them. </w:t>
      </w:r>
    </w:p>
    <w:p w14:paraId="2B34D5F7" w14:textId="77777777" w:rsidR="00A55CC0" w:rsidRDefault="00A55CC0"/>
    <w:p w14:paraId="7E8E03DD" w14:textId="77777777" w:rsidR="000A2CFD" w:rsidRDefault="000A2CFD" w:rsidP="000C7368">
      <w:pPr>
        <w:ind w:left="360"/>
        <w:rPr>
          <w:sz w:val="22"/>
          <w:szCs w:val="22"/>
        </w:rPr>
      </w:pPr>
    </w:p>
    <w:p w14:paraId="2937302B" w14:textId="77777777" w:rsidR="000A2CFD" w:rsidRPr="00B0313E" w:rsidRDefault="000A2CFD" w:rsidP="000A2CFD">
      <w:pPr>
        <w:rPr>
          <w:b/>
          <w:i/>
        </w:rPr>
      </w:pPr>
      <w:r w:rsidRPr="00B0313E">
        <w:rPr>
          <w:b/>
          <w:i/>
        </w:rPr>
        <w:t>Dimensional Standards</w:t>
      </w:r>
    </w:p>
    <w:p w14:paraId="453FB744" w14:textId="77777777" w:rsidR="000A2CFD" w:rsidRPr="00776B74" w:rsidRDefault="000A2CFD" w:rsidP="000A2CFD">
      <w:pPr>
        <w:rPr>
          <w:sz w:val="16"/>
          <w:szCs w:val="16"/>
        </w:rPr>
      </w:pPr>
    </w:p>
    <w:p w14:paraId="386676C8" w14:textId="77777777" w:rsidR="000A2CFD" w:rsidRPr="00776B74" w:rsidRDefault="000A2CFD" w:rsidP="000A2CFD">
      <w:pPr>
        <w:pStyle w:val="SFatext0"/>
        <w:ind w:hanging="2880"/>
        <w:rPr>
          <w:sz w:val="24"/>
          <w:szCs w:val="24"/>
        </w:rPr>
      </w:pPr>
      <w:r w:rsidRPr="00776B74">
        <w:rPr>
          <w:b/>
          <w:sz w:val="24"/>
          <w:szCs w:val="24"/>
        </w:rPr>
        <w:t xml:space="preserve">Minimum district size </w:t>
      </w:r>
      <w:r w:rsidRPr="00776B74">
        <w:rPr>
          <w:b/>
          <w:sz w:val="24"/>
          <w:szCs w:val="24"/>
        </w:rPr>
        <w:tab/>
      </w:r>
      <w:r w:rsidRPr="00776B74">
        <w:rPr>
          <w:sz w:val="24"/>
          <w:szCs w:val="24"/>
        </w:rPr>
        <w:t>None</w:t>
      </w:r>
      <w:r>
        <w:rPr>
          <w:sz w:val="24"/>
          <w:szCs w:val="24"/>
        </w:rPr>
        <w:t>; except as may be needed to satisfy other I-2 district limitations</w:t>
      </w:r>
    </w:p>
    <w:p w14:paraId="4DE7B0A5" w14:textId="77777777" w:rsidR="000A2CFD" w:rsidRPr="00776B74" w:rsidRDefault="000A2CFD" w:rsidP="000A2CFD">
      <w:pPr>
        <w:ind w:left="2880" w:hanging="2880"/>
      </w:pPr>
      <w:r w:rsidRPr="00776B74">
        <w:rPr>
          <w:b/>
        </w:rPr>
        <w:t>Maximum height</w:t>
      </w:r>
      <w:r w:rsidRPr="00776B74">
        <w:t>:</w:t>
      </w:r>
      <w:r w:rsidRPr="00776B74">
        <w:tab/>
      </w:r>
      <w:r>
        <w:t>6</w:t>
      </w:r>
      <w:r w:rsidRPr="00776B74">
        <w:t>5</w:t>
      </w:r>
      <w:r>
        <w:t>; any provided that any part of the building exceeding 36 feet in height shall be set back from each yard line at least one foot for each two feet of additional building height above 36 feet</w:t>
      </w:r>
    </w:p>
    <w:p w14:paraId="4C70898D" w14:textId="77777777" w:rsidR="000A2CFD" w:rsidRPr="00696DBA" w:rsidRDefault="000A2CFD" w:rsidP="000A2CFD">
      <w:pPr>
        <w:rPr>
          <w:sz w:val="16"/>
          <w:szCs w:val="16"/>
        </w:rPr>
      </w:pPr>
    </w:p>
    <w:p w14:paraId="1459B75F" w14:textId="77777777" w:rsidR="000A2CFD" w:rsidRPr="00957E8C" w:rsidRDefault="000A2CFD" w:rsidP="00656601">
      <w:pPr>
        <w:ind w:left="2880" w:hanging="2880"/>
        <w:rPr>
          <w:b/>
        </w:rPr>
      </w:pPr>
      <w:r w:rsidRPr="00776B74">
        <w:rPr>
          <w:b/>
        </w:rPr>
        <w:t>Minimum setbacks:</w:t>
      </w:r>
      <w:r>
        <w:rPr>
          <w:b/>
        </w:rPr>
        <w:tab/>
      </w:r>
      <w:r w:rsidRPr="00776B74">
        <w:t xml:space="preserve">Street </w:t>
      </w:r>
      <w:r>
        <w:t>1</w:t>
      </w:r>
      <w:r w:rsidRPr="00776B74">
        <w:t xml:space="preserve">5; side </w:t>
      </w:r>
      <w:r>
        <w:t>1</w:t>
      </w:r>
      <w:r w:rsidRPr="00776B74">
        <w:t>0</w:t>
      </w:r>
      <w:r>
        <w:t xml:space="preserve"> if abutting residential district, 5 if not abutting residential district;</w:t>
      </w:r>
      <w:r w:rsidRPr="00776B74">
        <w:t xml:space="preserve"> rear 10 </w:t>
      </w:r>
      <w:r>
        <w:t>i</w:t>
      </w:r>
      <w:r w:rsidR="00656601">
        <w:t>f</w:t>
      </w:r>
      <w:r>
        <w:t xml:space="preserve"> not abutting a residential district, 25 if abutting residential district.</w:t>
      </w:r>
    </w:p>
    <w:p w14:paraId="50DC867C" w14:textId="77777777" w:rsidR="000A2CFD" w:rsidRPr="00776B74" w:rsidRDefault="000A2CFD" w:rsidP="000A2CFD">
      <w:pPr>
        <w:ind w:left="2880"/>
      </w:pPr>
      <w:r w:rsidRPr="00776B74">
        <w:t xml:space="preserve">Where rear yard abuts a residential neighborhood no less than 25 feet rear yard setback shall be provided or 20% of the depth of the lot, whichever is less. A </w:t>
      </w:r>
      <w:proofErr w:type="gramStart"/>
      <w:r w:rsidRPr="00776B74">
        <w:t>15 foot</w:t>
      </w:r>
      <w:proofErr w:type="gramEnd"/>
      <w:r w:rsidRPr="00776B74">
        <w:t xml:space="preserve"> buffer is required for non-residential uses adjacent to residential uses.</w:t>
      </w:r>
    </w:p>
    <w:p w14:paraId="37202E1F" w14:textId="77777777" w:rsidR="000A2CFD" w:rsidRPr="00696DBA" w:rsidRDefault="000A2CFD" w:rsidP="000A2CFD">
      <w:pPr>
        <w:rPr>
          <w:sz w:val="16"/>
          <w:szCs w:val="16"/>
        </w:rPr>
      </w:pPr>
    </w:p>
    <w:p w14:paraId="68962464" w14:textId="77777777" w:rsidR="000A2CFD" w:rsidRPr="00776B74" w:rsidRDefault="000A2CFD" w:rsidP="000A2CFD">
      <w:pPr>
        <w:ind w:left="2880" w:hanging="2880"/>
      </w:pPr>
      <w:r w:rsidRPr="00776B74">
        <w:rPr>
          <w:b/>
        </w:rPr>
        <w:t>Max lot cover</w:t>
      </w:r>
      <w:r w:rsidRPr="00776B74">
        <w:t>:</w:t>
      </w:r>
      <w:r w:rsidRPr="00776B74">
        <w:tab/>
      </w:r>
      <w:r>
        <w:t>6</w:t>
      </w:r>
      <w:r w:rsidRPr="00776B74">
        <w:t>0</w:t>
      </w:r>
    </w:p>
    <w:p w14:paraId="62FEF4F4" w14:textId="77777777" w:rsidR="000A2CFD" w:rsidRPr="00472F5B" w:rsidRDefault="000A2CFD" w:rsidP="000C7368">
      <w:pPr>
        <w:ind w:left="360"/>
        <w:rPr>
          <w:sz w:val="22"/>
          <w:szCs w:val="22"/>
        </w:rPr>
      </w:pPr>
    </w:p>
    <w:sectPr w:rsidR="000A2CFD" w:rsidRPr="00472F5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F558" w14:textId="77777777" w:rsidR="002B0271" w:rsidRDefault="002B0271" w:rsidP="005F3B4B">
      <w:r>
        <w:separator/>
      </w:r>
    </w:p>
  </w:endnote>
  <w:endnote w:type="continuationSeparator" w:id="0">
    <w:p w14:paraId="546DECDC" w14:textId="77777777" w:rsidR="002B0271" w:rsidRDefault="002B0271" w:rsidP="005F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43F1" w14:textId="77777777" w:rsidR="00334D86" w:rsidRDefault="00334D86" w:rsidP="00334D86">
    <w:pPr>
      <w:pStyle w:val="Footer"/>
      <w:rPr>
        <w:rFonts w:cs="Times New Roman"/>
        <w:i/>
        <w:sz w:val="18"/>
        <w:szCs w:val="18"/>
      </w:rPr>
    </w:pPr>
  </w:p>
  <w:p w14:paraId="42E2385C" w14:textId="29994DA4" w:rsidR="005F3B4B" w:rsidRPr="00334D86" w:rsidRDefault="00334D86" w:rsidP="00265D32">
    <w:pPr>
      <w:pStyle w:val="Footer"/>
      <w:ind w:left="-36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32AB" w14:textId="77777777" w:rsidR="002B0271" w:rsidRDefault="002B0271" w:rsidP="005F3B4B">
      <w:r>
        <w:separator/>
      </w:r>
    </w:p>
  </w:footnote>
  <w:footnote w:type="continuationSeparator" w:id="0">
    <w:p w14:paraId="4C7783A3" w14:textId="77777777" w:rsidR="002B0271" w:rsidRDefault="002B0271" w:rsidP="005F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9B4E" w14:textId="0E58616D" w:rsidR="003901F9" w:rsidRDefault="003901F9">
    <w:pPr>
      <w:pStyle w:val="Header"/>
    </w:pPr>
    <w:r>
      <w:rPr>
        <w:noProof/>
      </w:rPr>
      <mc:AlternateContent>
        <mc:Choice Requires="wps">
          <w:drawing>
            <wp:anchor distT="0" distB="0" distL="118745" distR="118745" simplePos="0" relativeHeight="251659264" behindDoc="1" locked="0" layoutInCell="1" allowOverlap="0" wp14:anchorId="4252C0D8" wp14:editId="0814504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rgbClr val="4472C4"/>
                      </a:solidFill>
                      <a:ln w="12700" cap="flat" cmpd="sng" algn="ctr">
                        <a:noFill/>
                        <a:prstDash val="solid"/>
                        <a:miter lim="800000"/>
                      </a:ln>
                      <a:effectLst/>
                    </wps:spPr>
                    <wps:txbx>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4F237DA" w14:textId="5BF57BBB" w:rsidR="003901F9" w:rsidRPr="003901F9" w:rsidRDefault="003901F9">
                              <w:pPr>
                                <w:pStyle w:val="Header"/>
                                <w:tabs>
                                  <w:tab w:val="clear" w:pos="4680"/>
                                  <w:tab w:val="clear" w:pos="9360"/>
                                </w:tabs>
                                <w:jc w:val="center"/>
                                <w:rPr>
                                  <w:caps/>
                                  <w:color w:val="FFFFFF"/>
                                </w:rPr>
                              </w:pPr>
                              <w:r>
                                <w:rPr>
                                  <w:b/>
                                  <w:bCs/>
                                </w:rPr>
                                <w:t>Dimensional Standards</w:t>
                              </w:r>
                              <w:r w:rsidRPr="003901F9">
                                <w:rPr>
                                  <w:b/>
                                  <w:bCs/>
                                </w:rPr>
                                <w:t xml:space="preserve"> I-2 General Industrial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252C0D8" id="Rectangle 1" o:spid="_x0000_s1026" style="position:absolute;margin-left:0;margin-top:0;width:431.7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TIYwIAAMYEAAAOAAAAZHJzL2Uyb0RvYy54bWysVE1v2zAMvQ/YfxB0X5147seMOkWQosOA&#10;oC3QDj0zshwb09coJXb360fJThp0Ow3LQSBFmo98esz1zaAV20v0nTUVn5/NOJNG2Loz24p/f777&#10;dMWZD2BqUNbIir9Kz28WHz9c966UuW2tqiUyKmJ82buKtyG4Msu8aKUGf2adNBRsLGoI5OI2qxF6&#10;qq5Vls9mF1lvsXZohfSebm/HIF+k+k0jRXhoGi8DUxWn3kI6MZ2beGaLayi3CK7txNQG/EMXGjpD&#10;oMdStxCA7bD7o5TuBFpvm3AmrM5s03RCphlomvns3TRPLTiZZiFyvDvS5P9fWXG/f3KPGFv3bm3F&#10;D0+MZL3z5TESHT/lDA3qmEuNsyGx+HpkUQ6BCbo8L64+5/k5Z4Ji+cXF5SzRnEF5+NqhD1+l1Swa&#10;FUd6pUQe7Nc+RHwoDympMau6+q5TKjm43awUsj3QixbFZb4q4iPSJ/40TRnWkx7zCM4EkLIaBYFM&#10;7eqKe7PlDNSWJCsCJmxjI0KSQ8S+Bd+OGKnsqBPdBRKr6nTFr2bxNyErEzuTSW7TBG+kRSsMm4FK&#10;R3Nj69dHZGhHKXon7jrCW4MPj4CkPeqX9ik80NEoS0PYyeKstfjrb/cxnyRBUc560jIN+HMHKDlT&#10;3wyJ5cu8KKL4k1OcX+bk4GlkcxoxO72yRO6cNteJZMb8oA5mg1a/0NotIyqFwAjCHqmcnFUYd4wW&#10;V8jlMqWR4B2EtXlyIhaPlEWmn4cXQDdJIZCI7u1B91C+U8SYm2TglrtAT5bk8sbrpF1aliSJabHj&#10;Np76Kevt72fxGwAA//8DAFBLAwQUAAYACAAAACEAUQSyqdoAAAAEAQAADwAAAGRycy9kb3ducmV2&#10;LnhtbEyPwU7DMBBE70j8g7VI3KhDoaGkcaoKgQTHFsTZjZc4qr0OsduGfD0Ll/ay0mhGM2/L5eCd&#10;OGAf20AKbicZCKQ6mJYaBR/vLzdzEDFpMtoFQgU/GGFZXV6UujDhSGs8bFIjuIRioRXYlLpCylhb&#10;9DpOQofE3lfovU4s+0aaXh+53Ds5zbJcet0SL1jd4ZPFerfZewVNoDjkaSXt4+z72b2N4+vD56jU&#10;9dWwWoBIOKRTGP7wGR0qZtqGPZkonAJ+JP1f9ub53QzEVsH9NANZlfIcvvoFAAD//wMAUEsBAi0A&#10;FAAGAAgAAAAhALaDOJL+AAAA4QEAABMAAAAAAAAAAAAAAAAAAAAAAFtDb250ZW50X1R5cGVzXS54&#10;bWxQSwECLQAUAAYACAAAACEAOP0h/9YAAACUAQAACwAAAAAAAAAAAAAAAAAvAQAAX3JlbHMvLnJl&#10;bHNQSwECLQAUAAYACAAAACEASZjkyGMCAADGBAAADgAAAAAAAAAAAAAAAAAuAgAAZHJzL2Uyb0Rv&#10;Yy54bWxQSwECLQAUAAYACAAAACEAUQSyqdoAAAAEAQAADwAAAAAAAAAAAAAAAAC9BAAAZHJzL2Rv&#10;d25yZXYueG1sUEsFBgAAAAAEAAQA8wAAAMQFAAAAAA==&#10;" o:allowoverlap="f" fillcolor="#4472c4" stroked="f" strokeweight="1pt">
              <v:textbox style="mso-fit-shape-to-text:t">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4F237DA" w14:textId="5BF57BBB" w:rsidR="003901F9" w:rsidRPr="003901F9" w:rsidRDefault="003901F9">
                        <w:pPr>
                          <w:pStyle w:val="Header"/>
                          <w:tabs>
                            <w:tab w:val="clear" w:pos="4680"/>
                            <w:tab w:val="clear" w:pos="9360"/>
                          </w:tabs>
                          <w:jc w:val="center"/>
                          <w:rPr>
                            <w:caps/>
                            <w:color w:val="FFFFFF"/>
                          </w:rPr>
                        </w:pPr>
                        <w:r>
                          <w:rPr>
                            <w:b/>
                            <w:bCs/>
                          </w:rPr>
                          <w:t>Dimensional Standards</w:t>
                        </w:r>
                        <w:r w:rsidRPr="003901F9">
                          <w:rPr>
                            <w:b/>
                            <w:bCs/>
                          </w:rPr>
                          <w:t xml:space="preserve"> I-2 General Industrial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706"/>
    <w:multiLevelType w:val="hybridMultilevel"/>
    <w:tmpl w:val="3A2AB19E"/>
    <w:lvl w:ilvl="0" w:tplc="4D44866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CEA"/>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2CFD"/>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C7368"/>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0B0"/>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2C4"/>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A0D"/>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8C4"/>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D3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39DE"/>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56D"/>
    <w:rsid w:val="002A5607"/>
    <w:rsid w:val="002A64A4"/>
    <w:rsid w:val="002A6F1C"/>
    <w:rsid w:val="002B0271"/>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982"/>
    <w:rsid w:val="00304BAA"/>
    <w:rsid w:val="0030534F"/>
    <w:rsid w:val="00305617"/>
    <w:rsid w:val="00305FD0"/>
    <w:rsid w:val="00306211"/>
    <w:rsid w:val="0030691F"/>
    <w:rsid w:val="003075E0"/>
    <w:rsid w:val="0030761F"/>
    <w:rsid w:val="0030776B"/>
    <w:rsid w:val="00307BDB"/>
    <w:rsid w:val="00310207"/>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D86"/>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8F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3E17"/>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1F9"/>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278A"/>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68CE"/>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4F1C"/>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5D6A"/>
    <w:rsid w:val="00436513"/>
    <w:rsid w:val="004368E6"/>
    <w:rsid w:val="00436FC5"/>
    <w:rsid w:val="0043721A"/>
    <w:rsid w:val="00437C63"/>
    <w:rsid w:val="00440118"/>
    <w:rsid w:val="004402B8"/>
    <w:rsid w:val="00440588"/>
    <w:rsid w:val="00440B83"/>
    <w:rsid w:val="00440C86"/>
    <w:rsid w:val="00441085"/>
    <w:rsid w:val="0044154F"/>
    <w:rsid w:val="00441727"/>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34E"/>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2F5B"/>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79A"/>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2EC9"/>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0F4"/>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4CA2"/>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3B4B"/>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601"/>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0AD"/>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31D"/>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038"/>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D7D30"/>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6D7C"/>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5FC5"/>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627"/>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5CC0"/>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01C"/>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4AD"/>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3ECB"/>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877DD"/>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5976"/>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3FAA"/>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15C8"/>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41B"/>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093"/>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781"/>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9DE"/>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499"/>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073DC1"/>
  <w15:chartTrackingRefBased/>
  <w15:docId w15:val="{73B44E84-6C33-4A26-BEBA-C01BCF19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atext0">
    <w:name w:val="SF (a) text"/>
    <w:basedOn w:val="Normal"/>
    <w:semiHidden/>
    <w:rsid w:val="000A2CFD"/>
    <w:pPr>
      <w:spacing w:after="200"/>
      <w:ind w:left="2880" w:hanging="720"/>
      <w:jc w:val="both"/>
    </w:pPr>
    <w:rPr>
      <w:rFonts w:eastAsia="Times" w:cs="Times New Roman"/>
      <w:sz w:val="22"/>
      <w:szCs w:val="22"/>
    </w:rPr>
  </w:style>
  <w:style w:type="paragraph" w:styleId="Header">
    <w:name w:val="header"/>
    <w:basedOn w:val="Normal"/>
    <w:link w:val="HeaderChar"/>
    <w:uiPriority w:val="99"/>
    <w:unhideWhenUsed/>
    <w:rsid w:val="005F3B4B"/>
    <w:pPr>
      <w:tabs>
        <w:tab w:val="center" w:pos="4680"/>
        <w:tab w:val="right" w:pos="9360"/>
      </w:tabs>
    </w:pPr>
  </w:style>
  <w:style w:type="character" w:customStyle="1" w:styleId="HeaderChar">
    <w:name w:val="Header Char"/>
    <w:link w:val="Header"/>
    <w:uiPriority w:val="99"/>
    <w:rsid w:val="005F3B4B"/>
    <w:rPr>
      <w:rFonts w:ascii="Arial" w:hAnsi="Arial" w:cs="Arial"/>
      <w:sz w:val="24"/>
      <w:szCs w:val="24"/>
      <w:lang w:bidi="ar-SA"/>
    </w:rPr>
  </w:style>
  <w:style w:type="paragraph" w:styleId="Footer">
    <w:name w:val="footer"/>
    <w:basedOn w:val="Normal"/>
    <w:link w:val="FooterChar"/>
    <w:uiPriority w:val="99"/>
    <w:unhideWhenUsed/>
    <w:rsid w:val="005F3B4B"/>
    <w:pPr>
      <w:tabs>
        <w:tab w:val="center" w:pos="4680"/>
        <w:tab w:val="right" w:pos="9360"/>
      </w:tabs>
    </w:pPr>
  </w:style>
  <w:style w:type="character" w:customStyle="1" w:styleId="FooterChar">
    <w:name w:val="Footer Char"/>
    <w:link w:val="Footer"/>
    <w:uiPriority w:val="99"/>
    <w:rsid w:val="005F3B4B"/>
    <w:rPr>
      <w:rFonts w:ascii="Arial" w:hAnsi="Arial" w:cs="Arial"/>
      <w:sz w:val="24"/>
      <w:szCs w:val="24"/>
      <w:lang w:bidi="ar-SA"/>
    </w:rPr>
  </w:style>
  <w:style w:type="paragraph" w:styleId="BalloonText">
    <w:name w:val="Balloon Text"/>
    <w:basedOn w:val="Normal"/>
    <w:link w:val="BalloonTextChar"/>
    <w:uiPriority w:val="99"/>
    <w:semiHidden/>
    <w:unhideWhenUsed/>
    <w:rsid w:val="005F3B4B"/>
    <w:rPr>
      <w:rFonts w:ascii="Tahoma" w:hAnsi="Tahoma" w:cs="Tahoma"/>
      <w:sz w:val="16"/>
      <w:szCs w:val="16"/>
    </w:rPr>
  </w:style>
  <w:style w:type="character" w:customStyle="1" w:styleId="BalloonTextChar">
    <w:name w:val="Balloon Text Char"/>
    <w:link w:val="BalloonText"/>
    <w:uiPriority w:val="99"/>
    <w:semiHidden/>
    <w:rsid w:val="005F3B4B"/>
    <w:rPr>
      <w:rFonts w:ascii="Tahoma" w:hAnsi="Tahoma" w:cs="Tahoma"/>
      <w:sz w:val="16"/>
      <w:szCs w:val="16"/>
      <w:lang w:bidi="ar-SA"/>
    </w:rPr>
  </w:style>
  <w:style w:type="character" w:styleId="Hyperlink">
    <w:name w:val="Hyperlink"/>
    <w:basedOn w:val="DefaultParagraphFont"/>
    <w:uiPriority w:val="99"/>
    <w:semiHidden/>
    <w:unhideWhenUsed/>
    <w:rsid w:val="00334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986741107">
      <w:bodyDiv w:val="1"/>
      <w:marLeft w:val="0"/>
      <w:marRight w:val="0"/>
      <w:marTop w:val="0"/>
      <w:marBottom w:val="0"/>
      <w:divBdr>
        <w:top w:val="none" w:sz="0" w:space="0" w:color="auto"/>
        <w:left w:val="none" w:sz="0" w:space="0" w:color="auto"/>
        <w:bottom w:val="none" w:sz="0" w:space="0" w:color="auto"/>
        <w:right w:val="none" w:sz="0" w:space="0" w:color="auto"/>
      </w:divBdr>
    </w:div>
    <w:div w:id="1475220888">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I-2 General Industrial District</dc:title>
  <dc:subject/>
  <dc:creator>User</dc:creator>
  <cp:keywords/>
  <dc:description/>
  <cp:lastModifiedBy>MCCULLEY, LANI J.</cp:lastModifiedBy>
  <cp:revision>4</cp:revision>
  <cp:lastPrinted>2012-05-04T20:17:00Z</cp:lastPrinted>
  <dcterms:created xsi:type="dcterms:W3CDTF">2022-02-04T01:24:00Z</dcterms:created>
  <dcterms:modified xsi:type="dcterms:W3CDTF">2022-02-04T01:57:00Z</dcterms:modified>
</cp:coreProperties>
</file>